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4F0" w:rsidRPr="00855987" w:rsidRDefault="00FE14F0" w:rsidP="00855987">
      <w:pPr>
        <w:widowControl w:val="0"/>
        <w:jc w:val="center"/>
        <w:rPr>
          <w:b/>
          <w:sz w:val="24"/>
          <w:szCs w:val="24"/>
        </w:rPr>
      </w:pPr>
      <w:bookmarkStart w:id="0" w:name="_GoBack"/>
      <w:bookmarkEnd w:id="0"/>
      <w:r w:rsidRPr="00855987">
        <w:rPr>
          <w:b/>
          <w:sz w:val="24"/>
          <w:szCs w:val="24"/>
        </w:rPr>
        <w:t>Паспорт государственной программы</w:t>
      </w:r>
    </w:p>
    <w:p w:rsidR="00FE14F0" w:rsidRPr="00855987" w:rsidRDefault="00FE14F0" w:rsidP="00855987">
      <w:pPr>
        <w:widowControl w:val="0"/>
        <w:jc w:val="center"/>
        <w:rPr>
          <w:b/>
          <w:sz w:val="24"/>
          <w:szCs w:val="24"/>
        </w:rPr>
      </w:pPr>
      <w:r w:rsidRPr="00855987">
        <w:rPr>
          <w:b/>
          <w:sz w:val="24"/>
          <w:szCs w:val="24"/>
        </w:rPr>
        <w:t xml:space="preserve">Ханты-Мансийского автономного округа – Югры </w:t>
      </w:r>
    </w:p>
    <w:p w:rsidR="00FE14F0" w:rsidRPr="00855987" w:rsidRDefault="00FE14F0" w:rsidP="00855987">
      <w:pPr>
        <w:widowControl w:val="0"/>
        <w:jc w:val="center"/>
        <w:rPr>
          <w:b/>
          <w:sz w:val="24"/>
          <w:szCs w:val="24"/>
        </w:rPr>
      </w:pPr>
      <w:r w:rsidRPr="00855987">
        <w:rPr>
          <w:b/>
          <w:sz w:val="24"/>
          <w:szCs w:val="24"/>
        </w:rPr>
        <w:t>«Экологическая безопасность» (далее – государственная программа)</w:t>
      </w:r>
    </w:p>
    <w:p w:rsidR="00FE14F0" w:rsidRDefault="00FE14F0" w:rsidP="00FE14F0">
      <w:pPr>
        <w:widowControl w:val="0"/>
        <w:ind w:firstLine="567"/>
        <w:jc w:val="both"/>
        <w:rPr>
          <w:sz w:val="26"/>
          <w:szCs w:val="26"/>
        </w:rPr>
      </w:pPr>
      <w:bookmarkStart w:id="1" w:name="P57"/>
      <w:bookmarkEnd w:id="1"/>
    </w:p>
    <w:tbl>
      <w:tblPr>
        <w:tblW w:w="9480" w:type="dxa"/>
        <w:tblInd w:w="-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0"/>
        <w:gridCol w:w="7010"/>
      </w:tblGrid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Наименование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eastAsia="zh-CN"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Экологическая безопасность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snapToGrid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Постановление Правительства Ханты-Мансийского (далее – автономный округ) автономного округа – Югры от 5 октября 2018 года № 352-п «О государственной программе Ханты-Мансийского автономного округа – Югры «Экологическая безопасность»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Ответственный исполнитель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Служба по контролю и надзору в сфере охраны окружающей среды, объектов животного мира и лесных отношений автономного округа (далее – Природнадзор Югры)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Соисполнители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Департамент строительства автономного округа (далее – Депстрой Югры);</w:t>
            </w:r>
          </w:p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Департамент недропользования и природных ресурсов автономного округа (далее – Депнедра и природных ресурсов Югры);</w:t>
            </w:r>
          </w:p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Департамент промышленности автономного округа (далее – Деппромышленности Югры).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Цель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Сохранение благоприятной окружающей среды и биологического разнообразия в интересах настоящего и будущего поколений.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Задачи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1. Снижение уровня негативного воздействия факторов техногенного и природного характера на окружающую среду и ее компоненты.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2. Сохранение уникальных и типичных природных комплексов, объектов растительного и животного мира.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eastAsia="zh-CN"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3. Снижение негативного воздействия отходов производства и потребления на окружающую среду.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eastAsia="zh-CN"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4. Обеспечение защищенности населения и объектов экономики от наводнений и иного негативного воздействия вод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 xml:space="preserve">Подпрограммы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Подпрограмма 1 «Регулирование качества окружающей среды в автономном округе».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Подпрограмма 2 «Сохранение биологического разнообразия в автономном округе».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Подпрограмма 3 «Развитие системы обращения с отходами производства и потребления в автономном округе».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Подпрограмма 4 «Развитие водохозяйственного комплекса в автономном округе»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 xml:space="preserve">Портфели проектов, проекты автономного округа, входящие в состав государственной программы, в том </w:t>
            </w:r>
            <w:r w:rsidRPr="00855987">
              <w:rPr>
                <w:rFonts w:eastAsia="Calibri"/>
                <w:sz w:val="24"/>
                <w:szCs w:val="24"/>
                <w:lang w:bidi="hi-IN"/>
              </w:rPr>
              <w:lastRenderedPageBreak/>
              <w:t xml:space="preserve">числе направленные на реализацию национальных проектов (программ) Российской Федерации, </w:t>
            </w:r>
            <w:r w:rsidRPr="00855987">
              <w:rPr>
                <w:rFonts w:eastAsia="Calibri"/>
                <w:sz w:val="24"/>
                <w:szCs w:val="24"/>
                <w:lang w:eastAsia="en-US" w:bidi="hi-IN"/>
              </w:rPr>
              <w:t>параметры их финансового обеспечения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ind w:firstLine="24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lastRenderedPageBreak/>
              <w:t>Портфель проектов «Экология» - 20 748 004,1 тыс. рублей, в том числе: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региональный проект «Чистая страна» - 15 674 569,7 тыс. рублей;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 xml:space="preserve">региональный проект «Сохранение биологического разнообразия и развитие экологического туризма» - 726 836,6 </w:t>
            </w:r>
            <w:r w:rsidRPr="00855987">
              <w:rPr>
                <w:sz w:val="24"/>
                <w:szCs w:val="24"/>
                <w:lang w:bidi="hi-IN"/>
              </w:rPr>
              <w:lastRenderedPageBreak/>
              <w:t>тыс. рублей;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региональный проект «Комплексная система обращения с твердыми коммунальными отходами» - 4 346 597,8 тыс. рублей;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региональный проект «Сохранение уникальных водных объектов» - 0 тыс. рублей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lastRenderedPageBreak/>
              <w:t>Целевые показатели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1. Увеличение объема предотвращенного экологического ущерба (нарастающим итогом) с 16,8 до 53,4 млрд. рублей.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2. Увеличение доли населения, вовлеченного в эколого-просветительские и природоохранные мероприятия, от общего количества населения автономного округа (нарастающим итогом) с 36,6 до 38 %.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3. Увеличение количества ликвидированных шламовых амбаров с 0 до 150 ед.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4. Уменьшение доли нерекультивированных нефтезагрязненных земель к общему объему нефтезагрязненных земель с 61 до 5 %.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 xml:space="preserve">5.  Увеличение численности населения, качество жизни которого улучшится в связи с ликвидацией и рекультивацией объектов накопленного вреда окружающей среде с 0 до 150,4 тыс. чел. 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6. Увеличение общей площади восстановленных, в том числе рекультивированных, земель, подверженных негативному воздействию накопленного вреда окружающей среде с 0 до 18,2 га.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7. Прирост общей площади особо охраняемых природных территорий регионального значения с 0 до 4 372,8 га.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8. Увеличение количества посетителей особо охраняемых природных территорий регионального значения с 25,7 до 26,5 тыс. чел.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9. Увеличение количества</w:t>
            </w:r>
            <w:r w:rsidRPr="00855987">
              <w:rPr>
                <w:rFonts w:eastAsia="Calibri"/>
                <w:sz w:val="24"/>
                <w:szCs w:val="24"/>
                <w:lang w:eastAsia="en-US" w:bidi="hi-IN"/>
              </w:rPr>
              <w:t xml:space="preserve"> </w:t>
            </w:r>
            <w:r w:rsidRPr="00855987">
              <w:rPr>
                <w:rFonts w:eastAsia="Calibri"/>
                <w:sz w:val="24"/>
                <w:szCs w:val="24"/>
                <w:lang w:bidi="hi-IN"/>
              </w:rPr>
              <w:t>выпущенной молоди сибирского осетра с 0 до 6000 тыс. шт.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10. Увеличение доли твердых коммунальных отходов, направленных на утилизацию, в общем объеме твердых коммунальных отходов с 0 до 36 %.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11. Увеличение доли твердых коммунальных отходов, направленных на обработку, в общем объеме образованных твердых коммунальных отходов с 5 до 60 %.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eastAsia="zh-CN"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>12. Увеличение доли</w:t>
            </w:r>
            <w:r w:rsidRPr="00855987">
              <w:rPr>
                <w:rFonts w:eastAsia="Calibri"/>
                <w:sz w:val="24"/>
                <w:szCs w:val="24"/>
                <w:lang w:eastAsia="en-US" w:bidi="hi-IN"/>
              </w:rPr>
              <w:t xml:space="preserve"> </w:t>
            </w:r>
            <w:r w:rsidRPr="00855987">
              <w:rPr>
                <w:rFonts w:eastAsia="Calibri"/>
                <w:sz w:val="24"/>
                <w:szCs w:val="24"/>
                <w:lang w:bidi="hi-IN"/>
              </w:rPr>
              <w:t>обезвреженных и утилизированных отходов производства и потребления в общем количестве образующихся отходов I – IV классов опасности с 77,9 до 90 %.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eastAsia="zh-CN"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 xml:space="preserve">13. Увеличение доли населения, проживающего на подверженных негативному воздействию вод территориях, </w:t>
            </w:r>
            <w:r w:rsidRPr="00855987">
              <w:rPr>
                <w:rFonts w:eastAsia="Calibri"/>
                <w:sz w:val="24"/>
                <w:szCs w:val="24"/>
                <w:lang w:eastAsia="zh-CN" w:bidi="hi-IN"/>
              </w:rPr>
              <w:t>защищенного в результате проведения мероприятий по повышению защищенности от негативного воздействия вод, в общем количестве населения, проживающего на таких территориях до 48,2%.</w:t>
            </w:r>
          </w:p>
          <w:p w:rsidR="00FE14F0" w:rsidRPr="00855987" w:rsidRDefault="00FE14F0">
            <w:pPr>
              <w:widowControl w:val="0"/>
              <w:ind w:firstLine="240"/>
              <w:jc w:val="both"/>
              <w:rPr>
                <w:rFonts w:eastAsia="Calibri"/>
                <w:sz w:val="24"/>
                <w:szCs w:val="24"/>
                <w:lang w:eastAsia="zh-CN" w:bidi="hi-IN"/>
              </w:rPr>
            </w:pPr>
            <w:r w:rsidRPr="00855987">
              <w:rPr>
                <w:rFonts w:eastAsia="Calibri"/>
                <w:sz w:val="24"/>
                <w:szCs w:val="24"/>
                <w:lang w:eastAsia="zh-CN" w:bidi="hi-IN"/>
              </w:rPr>
              <w:t xml:space="preserve">14. Улучшение качества окружающей среды до 1. 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t xml:space="preserve">Сроки реализации </w:t>
            </w:r>
            <w:r w:rsidRPr="00855987">
              <w:rPr>
                <w:rFonts w:eastAsia="Calibri"/>
                <w:sz w:val="24"/>
                <w:szCs w:val="24"/>
                <w:lang w:bidi="hi-IN"/>
              </w:rPr>
              <w:lastRenderedPageBreak/>
              <w:t>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lastRenderedPageBreak/>
              <w:t>2019 – 2025 годы и на период до 2030 года.</w:t>
            </w:r>
          </w:p>
        </w:tc>
      </w:tr>
      <w:tr w:rsidR="00FE14F0" w:rsidRPr="00855987" w:rsidTr="00855987">
        <w:tc>
          <w:tcPr>
            <w:tcW w:w="2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rFonts w:eastAsia="Calibri"/>
                <w:sz w:val="24"/>
                <w:szCs w:val="24"/>
                <w:lang w:bidi="hi-IN"/>
              </w:rPr>
              <w:lastRenderedPageBreak/>
              <w:t>Параметры финансового обеспечения государственной программы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 xml:space="preserve">Общий объем финансирования государственной программы составляет </w:t>
            </w:r>
            <w:r w:rsidRPr="00855987">
              <w:rPr>
                <w:sz w:val="24"/>
                <w:szCs w:val="24"/>
              </w:rPr>
              <w:t xml:space="preserve">61 439 224,0 </w:t>
            </w:r>
            <w:r w:rsidRPr="00855987">
              <w:rPr>
                <w:sz w:val="24"/>
                <w:szCs w:val="24"/>
                <w:lang w:bidi="hi-IN"/>
              </w:rPr>
              <w:t>тыс. рублей, в том числе: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2019 год – 15 264 606,4 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 xml:space="preserve">2020 год – </w:t>
            </w:r>
            <w:r w:rsidRPr="00855987">
              <w:rPr>
                <w:sz w:val="24"/>
                <w:szCs w:val="24"/>
              </w:rPr>
              <w:t xml:space="preserve">10 851 947,9 </w:t>
            </w:r>
            <w:r w:rsidRPr="00855987">
              <w:rPr>
                <w:sz w:val="24"/>
                <w:szCs w:val="24"/>
                <w:lang w:bidi="hi-IN"/>
              </w:rPr>
              <w:t>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 xml:space="preserve">2021 год – </w:t>
            </w:r>
            <w:r w:rsidRPr="00855987">
              <w:rPr>
                <w:sz w:val="24"/>
                <w:szCs w:val="24"/>
              </w:rPr>
              <w:t>7 599 940,4</w:t>
            </w:r>
            <w:r w:rsidRPr="00855987">
              <w:rPr>
                <w:sz w:val="24"/>
                <w:szCs w:val="24"/>
                <w:lang w:bidi="hi-IN"/>
              </w:rPr>
              <w:t xml:space="preserve"> 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 xml:space="preserve">2022 год – </w:t>
            </w:r>
            <w:r w:rsidRPr="00855987">
              <w:rPr>
                <w:sz w:val="24"/>
                <w:szCs w:val="24"/>
              </w:rPr>
              <w:t xml:space="preserve">5 584 281,1 </w:t>
            </w:r>
            <w:r w:rsidRPr="00855987">
              <w:rPr>
                <w:sz w:val="24"/>
                <w:szCs w:val="24"/>
                <w:lang w:bidi="hi-IN"/>
              </w:rPr>
              <w:t>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2023 год – 2 918 080,9 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2024 год – 2 484 759,9 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2025 год – 3 590 867,9 тыс. рублей;</w:t>
            </w:r>
          </w:p>
          <w:p w:rsidR="00FE14F0" w:rsidRPr="00855987" w:rsidRDefault="00FE14F0">
            <w:pPr>
              <w:widowControl w:val="0"/>
              <w:jc w:val="both"/>
              <w:rPr>
                <w:rFonts w:eastAsia="Calibri"/>
                <w:sz w:val="24"/>
                <w:szCs w:val="24"/>
                <w:lang w:bidi="hi-IN"/>
              </w:rPr>
            </w:pPr>
            <w:r w:rsidRPr="00855987">
              <w:rPr>
                <w:sz w:val="24"/>
                <w:szCs w:val="24"/>
                <w:lang w:bidi="hi-IN"/>
              </w:rPr>
              <w:t>2026-2030 годы – 13 144 739,5 тыс. рублей.</w:t>
            </w:r>
          </w:p>
        </w:tc>
      </w:tr>
    </w:tbl>
    <w:p w:rsidR="009A2FF0" w:rsidRDefault="009A2FF0"/>
    <w:sectPr w:rsidR="009A2FF0" w:rsidSect="00D330FE">
      <w:headerReference w:type="default" r:id="rId7"/>
      <w:pgSz w:w="11906" w:h="16838"/>
      <w:pgMar w:top="1134" w:right="850" w:bottom="1134" w:left="1701" w:header="708" w:footer="708" w:gutter="0"/>
      <w:pgNumType w:start="28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0FE" w:rsidRDefault="00D330FE" w:rsidP="00D330FE">
      <w:r>
        <w:separator/>
      </w:r>
    </w:p>
  </w:endnote>
  <w:endnote w:type="continuationSeparator" w:id="0">
    <w:p w:rsidR="00D330FE" w:rsidRDefault="00D330FE" w:rsidP="00D33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0FE" w:rsidRDefault="00D330FE" w:rsidP="00D330FE">
      <w:r>
        <w:separator/>
      </w:r>
    </w:p>
  </w:footnote>
  <w:footnote w:type="continuationSeparator" w:id="0">
    <w:p w:rsidR="00D330FE" w:rsidRDefault="00D330FE" w:rsidP="00D33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60105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330FE" w:rsidRPr="00D330FE" w:rsidRDefault="00D330FE">
        <w:pPr>
          <w:pStyle w:val="a3"/>
          <w:jc w:val="right"/>
          <w:rPr>
            <w:sz w:val="24"/>
            <w:szCs w:val="24"/>
          </w:rPr>
        </w:pPr>
        <w:r w:rsidRPr="00D330FE">
          <w:rPr>
            <w:sz w:val="24"/>
            <w:szCs w:val="24"/>
          </w:rPr>
          <w:fldChar w:fldCharType="begin"/>
        </w:r>
        <w:r w:rsidRPr="00D330FE">
          <w:rPr>
            <w:sz w:val="24"/>
            <w:szCs w:val="24"/>
          </w:rPr>
          <w:instrText>PAGE   \* MERGEFORMAT</w:instrText>
        </w:r>
        <w:r w:rsidRPr="00D330FE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2898</w:t>
        </w:r>
        <w:r w:rsidRPr="00D330FE">
          <w:rPr>
            <w:sz w:val="24"/>
            <w:szCs w:val="24"/>
          </w:rPr>
          <w:fldChar w:fldCharType="end"/>
        </w:r>
      </w:p>
    </w:sdtContent>
  </w:sdt>
  <w:p w:rsidR="00D330FE" w:rsidRDefault="00D330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4F0"/>
    <w:rsid w:val="00855987"/>
    <w:rsid w:val="009A2FF0"/>
    <w:rsid w:val="00D330FE"/>
    <w:rsid w:val="00FE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0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30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30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30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0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30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330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30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4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Кайгородова Юлия Игоревна</dc:creator>
  <cp:keywords/>
  <dc:description/>
  <cp:lastModifiedBy>Шубная  Юлия  Петровна</cp:lastModifiedBy>
  <cp:revision>3</cp:revision>
  <dcterms:created xsi:type="dcterms:W3CDTF">2019-10-11T09:56:00Z</dcterms:created>
  <dcterms:modified xsi:type="dcterms:W3CDTF">2019-10-21T05:51:00Z</dcterms:modified>
</cp:coreProperties>
</file>